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F37" w:rsidRDefault="004C6F37" w:rsidP="004C6F37">
      <w:pPr>
        <w:spacing w:before="100" w:beforeAutospacing="1" w:after="100" w:afterAutospacing="1" w:line="240" w:lineRule="auto"/>
        <w:ind w:left="2977" w:hanging="2977"/>
        <w:rPr>
          <w:rFonts w:ascii="Calibri" w:eastAsia="Times New Roman" w:hAnsi="Calibri" w:cs="Times New Roman"/>
          <w:b/>
          <w:bCs/>
          <w:sz w:val="40"/>
          <w:szCs w:val="40"/>
          <w:u w:val="single"/>
        </w:rPr>
      </w:pPr>
      <w:r>
        <w:rPr>
          <w:rFonts w:ascii="Calibri" w:eastAsia="Times New Roman" w:hAnsi="Calibri" w:cs="Times New Roman"/>
          <w:b/>
          <w:bCs/>
          <w:sz w:val="40"/>
          <w:szCs w:val="40"/>
          <w:u w:val="single"/>
        </w:rPr>
        <w:t>5 grudnia 2020</w:t>
      </w:r>
    </w:p>
    <w:p w:rsidR="004C6F37" w:rsidRDefault="004C6F37" w:rsidP="004C6F37">
      <w:pPr>
        <w:spacing w:before="100" w:beforeAutospacing="1" w:after="100" w:afterAutospacing="1" w:line="240" w:lineRule="auto"/>
        <w:ind w:left="2977" w:hanging="2977"/>
        <w:rPr>
          <w:rFonts w:ascii="Calibri" w:eastAsia="Times New Roman" w:hAnsi="Calibri" w:cs="Times New Roman"/>
          <w:b/>
          <w:bCs/>
          <w:sz w:val="40"/>
          <w:szCs w:val="40"/>
          <w:u w:val="single"/>
        </w:rPr>
      </w:pPr>
      <w:r>
        <w:rPr>
          <w:rFonts w:ascii="Calibri" w:eastAsia="Times New Roman" w:hAnsi="Calibri" w:cs="Times New Roman"/>
          <w:b/>
          <w:bCs/>
          <w:sz w:val="40"/>
          <w:szCs w:val="40"/>
          <w:u w:val="single"/>
        </w:rPr>
        <w:t>Technik Ochrony fizycznej i mienia semestr III</w:t>
      </w:r>
    </w:p>
    <w:p w:rsidR="004C6F37" w:rsidRDefault="004C6F37" w:rsidP="004C6F37">
      <w:pPr>
        <w:spacing w:before="100" w:beforeAutospacing="1" w:after="100" w:afterAutospacing="1" w:line="240" w:lineRule="auto"/>
        <w:ind w:left="2977" w:hanging="2977"/>
        <w:rPr>
          <w:rFonts w:ascii="Calibri" w:eastAsia="Times New Roman" w:hAnsi="Calibri" w:cs="Times New Roman"/>
          <w:b/>
          <w:bCs/>
          <w:sz w:val="32"/>
          <w:szCs w:val="32"/>
        </w:rPr>
      </w:pPr>
      <w:r w:rsidRPr="00D353A0">
        <w:rPr>
          <w:rFonts w:ascii="Calibri" w:eastAsia="Times New Roman" w:hAnsi="Calibri" w:cs="Times New Roman"/>
          <w:b/>
          <w:bCs/>
          <w:sz w:val="32"/>
          <w:szCs w:val="32"/>
        </w:rPr>
        <w:t xml:space="preserve">Drodzy Państwo proszę </w:t>
      </w:r>
      <w:r>
        <w:rPr>
          <w:rFonts w:ascii="Calibri" w:eastAsia="Times New Roman" w:hAnsi="Calibri" w:cs="Times New Roman"/>
          <w:b/>
          <w:bCs/>
          <w:sz w:val="32"/>
          <w:szCs w:val="32"/>
        </w:rPr>
        <w:t>o</w:t>
      </w:r>
    </w:p>
    <w:p w:rsidR="004C6F37" w:rsidRDefault="004C6F37" w:rsidP="004C6F37">
      <w:pPr>
        <w:pStyle w:val="Akapitzlist"/>
        <w:numPr>
          <w:ilvl w:val="0"/>
          <w:numId w:val="1"/>
        </w:numPr>
        <w:spacing w:before="100" w:beforeAutospacing="1" w:after="100" w:afterAutospacing="1" w:line="240" w:lineRule="auto"/>
        <w:rPr>
          <w:rFonts w:ascii="Calibri" w:hAnsi="Calibri"/>
          <w:b/>
          <w:bCs/>
          <w:sz w:val="32"/>
          <w:szCs w:val="32"/>
        </w:rPr>
      </w:pPr>
      <w:r>
        <w:rPr>
          <w:rFonts w:ascii="Calibri" w:hAnsi="Calibri"/>
          <w:b/>
          <w:bCs/>
          <w:sz w:val="32"/>
          <w:szCs w:val="32"/>
        </w:rPr>
        <w:t>Z</w:t>
      </w:r>
      <w:r w:rsidRPr="00D353A0">
        <w:rPr>
          <w:rFonts w:ascii="Calibri" w:hAnsi="Calibri"/>
          <w:b/>
          <w:bCs/>
          <w:sz w:val="32"/>
          <w:szCs w:val="32"/>
        </w:rPr>
        <w:t>asłonięcie tekstu po lewej</w:t>
      </w:r>
      <w:r>
        <w:rPr>
          <w:rFonts w:ascii="Calibri" w:hAnsi="Calibri"/>
          <w:b/>
          <w:bCs/>
          <w:sz w:val="32"/>
          <w:szCs w:val="32"/>
        </w:rPr>
        <w:t xml:space="preserve"> stronie</w:t>
      </w:r>
      <w:r w:rsidRPr="00D353A0">
        <w:rPr>
          <w:rFonts w:ascii="Calibri" w:hAnsi="Calibri"/>
          <w:b/>
          <w:bCs/>
          <w:sz w:val="32"/>
          <w:szCs w:val="32"/>
        </w:rPr>
        <w:t xml:space="preserve"> (w języku polskim)</w:t>
      </w:r>
    </w:p>
    <w:p w:rsidR="004C6F37" w:rsidRDefault="004C6F37" w:rsidP="004C6F37">
      <w:pPr>
        <w:pStyle w:val="Akapitzlist"/>
        <w:numPr>
          <w:ilvl w:val="0"/>
          <w:numId w:val="1"/>
        </w:numPr>
        <w:spacing w:before="100" w:beforeAutospacing="1" w:after="100" w:afterAutospacing="1" w:line="240" w:lineRule="auto"/>
        <w:rPr>
          <w:rFonts w:ascii="Calibri" w:hAnsi="Calibri"/>
          <w:b/>
          <w:bCs/>
          <w:sz w:val="32"/>
          <w:szCs w:val="32"/>
        </w:rPr>
      </w:pPr>
      <w:r>
        <w:rPr>
          <w:rFonts w:ascii="Calibri" w:hAnsi="Calibri"/>
          <w:b/>
          <w:bCs/>
          <w:sz w:val="32"/>
          <w:szCs w:val="32"/>
        </w:rPr>
        <w:t>D</w:t>
      </w:r>
      <w:r w:rsidRPr="00D353A0">
        <w:rPr>
          <w:rFonts w:ascii="Calibri" w:hAnsi="Calibri"/>
          <w:b/>
          <w:bCs/>
          <w:sz w:val="32"/>
          <w:szCs w:val="32"/>
        </w:rPr>
        <w:t>okona</w:t>
      </w:r>
      <w:r>
        <w:rPr>
          <w:rFonts w:ascii="Calibri" w:hAnsi="Calibri"/>
          <w:b/>
          <w:bCs/>
          <w:sz w:val="32"/>
          <w:szCs w:val="32"/>
        </w:rPr>
        <w:t>nie</w:t>
      </w:r>
      <w:r w:rsidRPr="00D353A0">
        <w:rPr>
          <w:rFonts w:ascii="Calibri" w:hAnsi="Calibri"/>
          <w:b/>
          <w:bCs/>
          <w:sz w:val="32"/>
          <w:szCs w:val="32"/>
        </w:rPr>
        <w:t xml:space="preserve"> tłumaczenia tekstu z prawej stron</w:t>
      </w:r>
      <w:r>
        <w:rPr>
          <w:rFonts w:ascii="Calibri" w:hAnsi="Calibri"/>
          <w:b/>
          <w:bCs/>
          <w:sz w:val="32"/>
          <w:szCs w:val="32"/>
        </w:rPr>
        <w:t>y (wersja angielska) paragraf po paragrafie</w:t>
      </w:r>
    </w:p>
    <w:p w:rsidR="004C6F37" w:rsidRDefault="004C6F37" w:rsidP="004C6F37">
      <w:pPr>
        <w:pStyle w:val="Akapitzlist"/>
        <w:numPr>
          <w:ilvl w:val="0"/>
          <w:numId w:val="1"/>
        </w:numPr>
        <w:spacing w:before="100" w:beforeAutospacing="1" w:after="100" w:afterAutospacing="1" w:line="240" w:lineRule="auto"/>
        <w:rPr>
          <w:rFonts w:ascii="Calibri" w:hAnsi="Calibri"/>
          <w:b/>
          <w:bCs/>
          <w:sz w:val="32"/>
          <w:szCs w:val="32"/>
        </w:rPr>
      </w:pPr>
      <w:r>
        <w:rPr>
          <w:rFonts w:ascii="Calibri" w:hAnsi="Calibri"/>
          <w:b/>
          <w:bCs/>
          <w:sz w:val="32"/>
          <w:szCs w:val="32"/>
        </w:rPr>
        <w:t>Sprawdzenie jakości tłumaczenia poprzez porównanie swojego tłumaczenia z tekstem po lewej stronie</w:t>
      </w:r>
    </w:p>
    <w:p w:rsidR="004C6F37" w:rsidRDefault="004C6F37" w:rsidP="004C6F37">
      <w:pPr>
        <w:pStyle w:val="Akapitzlist"/>
        <w:numPr>
          <w:ilvl w:val="0"/>
          <w:numId w:val="1"/>
        </w:numPr>
        <w:spacing w:before="100" w:beforeAutospacing="1" w:after="100" w:afterAutospacing="1" w:line="240" w:lineRule="auto"/>
        <w:rPr>
          <w:rFonts w:ascii="Calibri" w:hAnsi="Calibri"/>
          <w:b/>
          <w:bCs/>
          <w:sz w:val="32"/>
          <w:szCs w:val="32"/>
        </w:rPr>
      </w:pPr>
      <w:r>
        <w:rPr>
          <w:rFonts w:ascii="Calibri" w:hAnsi="Calibri"/>
          <w:b/>
          <w:bCs/>
          <w:sz w:val="32"/>
          <w:szCs w:val="32"/>
        </w:rPr>
        <w:t>Podkreślenie nieznanych słów</w:t>
      </w:r>
    </w:p>
    <w:p w:rsidR="004C6F37" w:rsidRPr="00D353A0" w:rsidRDefault="004C6F37" w:rsidP="004C6F37">
      <w:pPr>
        <w:pStyle w:val="Akapitzlist"/>
        <w:numPr>
          <w:ilvl w:val="0"/>
          <w:numId w:val="1"/>
        </w:numPr>
        <w:spacing w:before="100" w:beforeAutospacing="1" w:after="100" w:afterAutospacing="1" w:line="240" w:lineRule="auto"/>
        <w:rPr>
          <w:rFonts w:ascii="Calibri" w:hAnsi="Calibri"/>
          <w:b/>
          <w:bCs/>
          <w:sz w:val="32"/>
          <w:szCs w:val="32"/>
        </w:rPr>
      </w:pPr>
      <w:r>
        <w:rPr>
          <w:rFonts w:ascii="Calibri" w:hAnsi="Calibri"/>
          <w:b/>
          <w:bCs/>
          <w:sz w:val="32"/>
          <w:szCs w:val="32"/>
        </w:rPr>
        <w:t>Zapamiętanie znaczenia słów podkreślonych</w:t>
      </w:r>
    </w:p>
    <w:p w:rsidR="004C6F37" w:rsidRDefault="004C6F37" w:rsidP="00A774DD">
      <w:pPr>
        <w:spacing w:after="0" w:line="240" w:lineRule="auto"/>
        <w:ind w:left="2693" w:hanging="2694"/>
        <w:rPr>
          <w:sz w:val="40"/>
          <w:szCs w:val="40"/>
        </w:rPr>
      </w:pPr>
    </w:p>
    <w:p w:rsidR="00A774DD" w:rsidRDefault="004C6F37" w:rsidP="00A774DD">
      <w:pPr>
        <w:spacing w:after="0" w:line="240" w:lineRule="auto"/>
        <w:ind w:left="2693" w:hanging="2694"/>
        <w:rPr>
          <w:b/>
          <w:sz w:val="40"/>
          <w:szCs w:val="40"/>
        </w:rPr>
      </w:pPr>
      <w:r w:rsidRPr="004C6F37">
        <w:rPr>
          <w:b/>
          <w:sz w:val="40"/>
          <w:szCs w:val="40"/>
        </w:rPr>
        <w:t>Temat</w:t>
      </w:r>
      <w:r w:rsidR="00FB059A" w:rsidRPr="004C6F37">
        <w:rPr>
          <w:b/>
          <w:sz w:val="40"/>
          <w:szCs w:val="40"/>
        </w:rPr>
        <w:t xml:space="preserve"> Wezwanie do opuszczenia chronionego obiektu</w:t>
      </w:r>
      <w:r w:rsidR="00FB059A" w:rsidRPr="00A774DD">
        <w:rPr>
          <w:b/>
          <w:sz w:val="40"/>
          <w:szCs w:val="40"/>
        </w:rPr>
        <w:t xml:space="preserve"> (obszaru).</w:t>
      </w:r>
    </w:p>
    <w:p w:rsidR="00FB059A" w:rsidRDefault="00A774DD" w:rsidP="00A774DD">
      <w:pPr>
        <w:spacing w:after="0" w:line="240" w:lineRule="auto"/>
        <w:ind w:left="2693"/>
        <w:rPr>
          <w:sz w:val="40"/>
          <w:szCs w:val="40"/>
        </w:rPr>
      </w:pPr>
      <w:r>
        <w:rPr>
          <w:b/>
          <w:sz w:val="40"/>
          <w:szCs w:val="40"/>
        </w:rPr>
        <w:t>/</w:t>
      </w:r>
      <w:r w:rsidR="00FB059A" w:rsidRPr="00A774DD">
        <w:rPr>
          <w:b/>
          <w:sz w:val="40"/>
          <w:szCs w:val="40"/>
        </w:rPr>
        <w:t xml:space="preserve"> Call to </w:t>
      </w:r>
      <w:proofErr w:type="spellStart"/>
      <w:r w:rsidR="00FB059A" w:rsidRPr="00A774DD">
        <w:rPr>
          <w:b/>
          <w:sz w:val="40"/>
          <w:szCs w:val="40"/>
        </w:rPr>
        <w:t>leave</w:t>
      </w:r>
      <w:proofErr w:type="spellEnd"/>
      <w:r w:rsidR="00FB059A" w:rsidRPr="00A774DD">
        <w:rPr>
          <w:b/>
          <w:sz w:val="40"/>
          <w:szCs w:val="40"/>
        </w:rPr>
        <w:t xml:space="preserve"> the </w:t>
      </w:r>
      <w:proofErr w:type="spellStart"/>
      <w:r w:rsidR="00FB059A" w:rsidRPr="00A774DD">
        <w:rPr>
          <w:b/>
          <w:sz w:val="40"/>
          <w:szCs w:val="40"/>
        </w:rPr>
        <w:t>protected</w:t>
      </w:r>
      <w:proofErr w:type="spellEnd"/>
      <w:r w:rsidR="00FB059A" w:rsidRPr="00A774DD">
        <w:rPr>
          <w:b/>
          <w:sz w:val="40"/>
          <w:szCs w:val="40"/>
        </w:rPr>
        <w:t xml:space="preserve"> </w:t>
      </w:r>
      <w:proofErr w:type="spellStart"/>
      <w:r w:rsidR="00FB059A" w:rsidRPr="00A774DD">
        <w:rPr>
          <w:b/>
          <w:sz w:val="40"/>
          <w:szCs w:val="40"/>
        </w:rPr>
        <w:t>object</w:t>
      </w:r>
      <w:proofErr w:type="spellEnd"/>
      <w:r w:rsidR="00FB059A" w:rsidRPr="00A774DD">
        <w:rPr>
          <w:b/>
          <w:sz w:val="40"/>
          <w:szCs w:val="40"/>
        </w:rPr>
        <w:t xml:space="preserve"> (of </w:t>
      </w:r>
      <w:proofErr w:type="spellStart"/>
      <w:r w:rsidR="00FB059A" w:rsidRPr="00A774DD">
        <w:rPr>
          <w:b/>
          <w:sz w:val="40"/>
          <w:szCs w:val="40"/>
        </w:rPr>
        <w:t>area</w:t>
      </w:r>
      <w:proofErr w:type="spellEnd"/>
      <w:r w:rsidR="00FB059A" w:rsidRPr="00A774DD">
        <w:rPr>
          <w:b/>
          <w:sz w:val="40"/>
          <w:szCs w:val="40"/>
        </w:rPr>
        <w:t>).</w:t>
      </w:r>
    </w:p>
    <w:tbl>
      <w:tblPr>
        <w:tblStyle w:val="Tabela-Siatka"/>
        <w:tblW w:w="0" w:type="auto"/>
        <w:tblLook w:val="04A0" w:firstRow="1" w:lastRow="0" w:firstColumn="1" w:lastColumn="0" w:noHBand="0" w:noVBand="1"/>
      </w:tblPr>
      <w:tblGrid>
        <w:gridCol w:w="4606"/>
        <w:gridCol w:w="4606"/>
      </w:tblGrid>
      <w:tr w:rsidR="00FB059A" w:rsidRPr="004C6F37" w:rsidTr="00FB059A">
        <w:tc>
          <w:tcPr>
            <w:tcW w:w="4606" w:type="dxa"/>
          </w:tcPr>
          <w:p w:rsidR="00FB059A" w:rsidRPr="00A774DD" w:rsidRDefault="00FB059A" w:rsidP="00FB059A">
            <w:pPr>
              <w:rPr>
                <w:sz w:val="36"/>
                <w:szCs w:val="36"/>
              </w:rPr>
            </w:pPr>
            <w:r w:rsidRPr="00A774DD">
              <w:rPr>
                <w:sz w:val="36"/>
                <w:szCs w:val="36"/>
              </w:rPr>
              <w:t xml:space="preserve">USUNIĘCIE OSOBY NIE POSIADAJĄCEJ UPRAWNIENIA DO PRZEBYWANIA W CHRONIONYM OBIEKCIE </w:t>
            </w:r>
          </w:p>
          <w:p w:rsidR="00FB059A" w:rsidRPr="00A774DD" w:rsidRDefault="00FB059A" w:rsidP="00FB059A">
            <w:pPr>
              <w:rPr>
                <w:sz w:val="36"/>
                <w:szCs w:val="36"/>
              </w:rPr>
            </w:pPr>
          </w:p>
          <w:p w:rsidR="00FB059A" w:rsidRPr="00A774DD" w:rsidRDefault="00FB059A" w:rsidP="00FB059A">
            <w:pPr>
              <w:rPr>
                <w:sz w:val="36"/>
                <w:szCs w:val="36"/>
              </w:rPr>
            </w:pPr>
            <w:r w:rsidRPr="00A774DD">
              <w:rPr>
                <w:sz w:val="36"/>
                <w:szCs w:val="36"/>
              </w:rPr>
              <w:t xml:space="preserve">Przed podjęciem czynności pracownik zobowiązany jest użyć zwrotu “Służba ochrony” oraz podać swoje nazwisko i imię. Następnie pracownik ochrony wzywa osobę nie posiadającą uprawnienia do przebywania w chronionym obiekcie albo zakłócającą </w:t>
            </w:r>
            <w:r w:rsidRPr="00A774DD">
              <w:rPr>
                <w:sz w:val="36"/>
                <w:szCs w:val="36"/>
              </w:rPr>
              <w:lastRenderedPageBreak/>
              <w:t>porządek do opuszczenia obiektu, informując ją o przyczynie wydania tego polecenia. W przypadku niepodporządkowania się poleceniu, pracownik ochrony wzywa Policję i sporządza notatkę służbową.</w:t>
            </w:r>
          </w:p>
          <w:p w:rsidR="00FB059A" w:rsidRPr="00A774DD" w:rsidRDefault="00FB059A" w:rsidP="00FB059A">
            <w:pPr>
              <w:rPr>
                <w:sz w:val="36"/>
                <w:szCs w:val="36"/>
              </w:rPr>
            </w:pPr>
          </w:p>
        </w:tc>
        <w:tc>
          <w:tcPr>
            <w:tcW w:w="4606" w:type="dxa"/>
          </w:tcPr>
          <w:p w:rsidR="00FB059A" w:rsidRPr="004C6F37" w:rsidRDefault="00FB059A" w:rsidP="00FB059A">
            <w:pPr>
              <w:rPr>
                <w:sz w:val="36"/>
                <w:szCs w:val="36"/>
                <w:lang w:val="en-US"/>
              </w:rPr>
            </w:pPr>
            <w:r w:rsidRPr="004C6F37">
              <w:rPr>
                <w:sz w:val="36"/>
                <w:szCs w:val="36"/>
                <w:lang w:val="en-US"/>
              </w:rPr>
              <w:lastRenderedPageBreak/>
              <w:t>REMOVING OF THE LACKING PERSON THE ENTITLEMENT TO STAY IN THE PROTECTED OBJECT</w:t>
            </w:r>
          </w:p>
          <w:p w:rsidR="00FB059A" w:rsidRPr="004C6F37" w:rsidRDefault="00FB059A" w:rsidP="00FB059A">
            <w:pPr>
              <w:rPr>
                <w:sz w:val="36"/>
                <w:szCs w:val="36"/>
                <w:lang w:val="en-US"/>
              </w:rPr>
            </w:pPr>
          </w:p>
          <w:p w:rsidR="00FB059A" w:rsidRPr="004C6F37" w:rsidRDefault="00FB059A" w:rsidP="00FB059A">
            <w:pPr>
              <w:rPr>
                <w:sz w:val="36"/>
                <w:szCs w:val="36"/>
                <w:lang w:val="en-US"/>
              </w:rPr>
            </w:pPr>
            <w:r w:rsidRPr="004C6F37">
              <w:rPr>
                <w:sz w:val="36"/>
                <w:szCs w:val="36"/>
                <w:lang w:val="en-US"/>
              </w:rPr>
              <w:t xml:space="preserve">Before undertaking the activity the employee is obliged to use the “ return Service of the protection "and to give one's surname and name. Next the security officer is calling the person not having an entitlement to stay in the protected object </w:t>
            </w:r>
            <w:r w:rsidRPr="004C6F37">
              <w:rPr>
                <w:sz w:val="36"/>
                <w:szCs w:val="36"/>
                <w:lang w:val="en-US"/>
              </w:rPr>
              <w:lastRenderedPageBreak/>
              <w:t>or disturbing the peace for leaving the object, informing her of the reason for issuing this order. In case of the defiance for order, the security officer is calling Police and is drafting a memo.</w:t>
            </w:r>
          </w:p>
        </w:tc>
      </w:tr>
    </w:tbl>
    <w:p w:rsidR="00FB059A" w:rsidRDefault="00FB059A" w:rsidP="00FB059A">
      <w:pPr>
        <w:rPr>
          <w:lang w:val="en-US"/>
        </w:rPr>
      </w:pPr>
    </w:p>
    <w:p w:rsidR="004C6F37" w:rsidRDefault="004C6F37" w:rsidP="004C6F37">
      <w:pPr>
        <w:spacing w:before="100" w:beforeAutospacing="1" w:after="100" w:afterAutospacing="1" w:line="240" w:lineRule="auto"/>
        <w:ind w:left="2977" w:hanging="2977"/>
        <w:rPr>
          <w:rFonts w:ascii="Calibri" w:eastAsia="Times New Roman" w:hAnsi="Calibri" w:cs="Times New Roman"/>
          <w:b/>
          <w:bCs/>
          <w:sz w:val="40"/>
          <w:szCs w:val="40"/>
          <w:u w:val="single"/>
        </w:rPr>
      </w:pPr>
      <w:bookmarkStart w:id="0" w:name="_GoBack"/>
      <w:bookmarkEnd w:id="0"/>
      <w:r>
        <w:rPr>
          <w:rFonts w:ascii="Calibri" w:eastAsia="Times New Roman" w:hAnsi="Calibri" w:cs="Times New Roman"/>
          <w:b/>
          <w:bCs/>
          <w:sz w:val="40"/>
          <w:szCs w:val="40"/>
          <w:u w:val="single"/>
        </w:rPr>
        <w:t xml:space="preserve">Wezwanie osoby do zachowania zgodnego z prawem/ </w:t>
      </w:r>
      <w:proofErr w:type="spellStart"/>
      <w:r>
        <w:rPr>
          <w:rFonts w:ascii="Calibri" w:eastAsia="Times New Roman" w:hAnsi="Calibri" w:cs="Times New Roman"/>
          <w:b/>
          <w:bCs/>
          <w:sz w:val="40"/>
          <w:szCs w:val="40"/>
          <w:u w:val="single"/>
        </w:rPr>
        <w:t>Invocation</w:t>
      </w:r>
      <w:proofErr w:type="spellEnd"/>
      <w:r>
        <w:rPr>
          <w:rFonts w:ascii="Calibri" w:eastAsia="Times New Roman" w:hAnsi="Calibri" w:cs="Times New Roman"/>
          <w:b/>
          <w:bCs/>
          <w:sz w:val="40"/>
          <w:szCs w:val="40"/>
          <w:u w:val="single"/>
        </w:rPr>
        <w:t xml:space="preserve"> of a person for </w:t>
      </w:r>
      <w:proofErr w:type="spellStart"/>
      <w:r>
        <w:rPr>
          <w:rFonts w:ascii="Calibri" w:eastAsia="Times New Roman" w:hAnsi="Calibri" w:cs="Times New Roman"/>
          <w:b/>
          <w:bCs/>
          <w:sz w:val="40"/>
          <w:szCs w:val="40"/>
          <w:u w:val="single"/>
        </w:rPr>
        <w:t>legal</w:t>
      </w:r>
      <w:proofErr w:type="spellEnd"/>
      <w:r>
        <w:rPr>
          <w:rFonts w:ascii="Calibri" w:eastAsia="Times New Roman" w:hAnsi="Calibri" w:cs="Times New Roman"/>
          <w:b/>
          <w:bCs/>
          <w:sz w:val="40"/>
          <w:szCs w:val="40"/>
          <w:u w:val="single"/>
        </w:rPr>
        <w:t xml:space="preserve"> </w:t>
      </w:r>
      <w:proofErr w:type="spellStart"/>
      <w:r>
        <w:rPr>
          <w:rFonts w:ascii="Calibri" w:eastAsia="Times New Roman" w:hAnsi="Calibri" w:cs="Times New Roman"/>
          <w:b/>
          <w:bCs/>
          <w:sz w:val="40"/>
          <w:szCs w:val="40"/>
          <w:u w:val="single"/>
        </w:rPr>
        <w:t>behaviour</w:t>
      </w:r>
      <w:proofErr w:type="spellEnd"/>
    </w:p>
    <w:tbl>
      <w:tblPr>
        <w:tblStyle w:val="Tabela-Siatka"/>
        <w:tblW w:w="0" w:type="auto"/>
        <w:tblLook w:val="04A0" w:firstRow="1" w:lastRow="0" w:firstColumn="1" w:lastColumn="0" w:noHBand="0" w:noVBand="1"/>
      </w:tblPr>
      <w:tblGrid>
        <w:gridCol w:w="4606"/>
        <w:gridCol w:w="4606"/>
      </w:tblGrid>
      <w:tr w:rsidR="004C6F37" w:rsidRPr="004C6F37" w:rsidTr="00534D28">
        <w:tc>
          <w:tcPr>
            <w:tcW w:w="4606" w:type="dxa"/>
          </w:tcPr>
          <w:p w:rsidR="004C6F37" w:rsidRPr="008E74DC" w:rsidRDefault="004C6F37" w:rsidP="00534D28">
            <w:pPr>
              <w:spacing w:before="100" w:beforeAutospacing="1" w:after="100" w:afterAutospacing="1"/>
              <w:rPr>
                <w:rFonts w:ascii="Calibri" w:eastAsia="Times New Roman" w:hAnsi="Calibri" w:cs="Arial"/>
                <w:bCs/>
                <w:sz w:val="32"/>
                <w:szCs w:val="32"/>
              </w:rPr>
            </w:pPr>
            <w:r w:rsidRPr="008E74DC">
              <w:rPr>
                <w:rFonts w:ascii="Calibri" w:eastAsia="Times New Roman" w:hAnsi="Calibri" w:cs="Arial"/>
                <w:bCs/>
                <w:sz w:val="32"/>
                <w:szCs w:val="32"/>
              </w:rPr>
              <w:t>Pracownik ochrony działając w ramach swoich uprawnień przed przystąpieniem do ujęcia sprawcy zagrożenia jest zobowiązany wezwać go zachowania zgodnego z prawem. Osiągnięcie zamierzonego celu praktycznie skutkuje natychmiastowym przekazaniem w ręce Policji.</w:t>
            </w:r>
          </w:p>
          <w:p w:rsidR="004C6F37" w:rsidRPr="008E74DC" w:rsidRDefault="004C6F37" w:rsidP="00534D28">
            <w:pPr>
              <w:spacing w:before="100" w:beforeAutospacing="1" w:after="100" w:afterAutospacing="1"/>
              <w:rPr>
                <w:rFonts w:ascii="Calibri" w:eastAsia="Times New Roman" w:hAnsi="Calibri" w:cs="Times New Roman"/>
                <w:b/>
                <w:bCs/>
                <w:sz w:val="32"/>
                <w:szCs w:val="32"/>
                <w:u w:val="single"/>
              </w:rPr>
            </w:pPr>
          </w:p>
        </w:tc>
        <w:tc>
          <w:tcPr>
            <w:tcW w:w="4606" w:type="dxa"/>
          </w:tcPr>
          <w:p w:rsidR="004C6F37" w:rsidRPr="004C6F37" w:rsidRDefault="004C6F37" w:rsidP="00534D28">
            <w:pPr>
              <w:spacing w:before="100" w:beforeAutospacing="1" w:after="100" w:afterAutospacing="1"/>
              <w:rPr>
                <w:rFonts w:ascii="Calibri" w:hAnsi="Calibri"/>
                <w:sz w:val="32"/>
                <w:szCs w:val="32"/>
                <w:lang w:val="en-US"/>
              </w:rPr>
            </w:pPr>
            <w:r w:rsidRPr="004C6F37">
              <w:rPr>
                <w:rFonts w:ascii="Calibri" w:hAnsi="Calibri"/>
                <w:sz w:val="32"/>
                <w:szCs w:val="32"/>
                <w:lang w:val="en-US"/>
              </w:rPr>
              <w:t>Security guard acting within its powers to include prior risk offender is required to invite him to behave in accordance with the law. Achieved the desired results in almost immediate transfer into the hands of the Police.</w:t>
            </w:r>
          </w:p>
          <w:p w:rsidR="004C6F37" w:rsidRPr="004C6F37" w:rsidRDefault="004C6F37" w:rsidP="00534D28">
            <w:pPr>
              <w:spacing w:before="100" w:beforeAutospacing="1" w:after="100" w:afterAutospacing="1"/>
              <w:rPr>
                <w:rFonts w:ascii="Calibri" w:eastAsia="Times New Roman" w:hAnsi="Calibri" w:cs="Times New Roman"/>
                <w:b/>
                <w:bCs/>
                <w:sz w:val="32"/>
                <w:szCs w:val="32"/>
                <w:u w:val="single"/>
                <w:lang w:val="en-US"/>
              </w:rPr>
            </w:pPr>
          </w:p>
        </w:tc>
      </w:tr>
      <w:tr w:rsidR="004C6F37" w:rsidRPr="004C6F37" w:rsidTr="00534D28">
        <w:tc>
          <w:tcPr>
            <w:tcW w:w="4606" w:type="dxa"/>
          </w:tcPr>
          <w:p w:rsidR="004C6F37" w:rsidRPr="008E74DC" w:rsidRDefault="004C6F37" w:rsidP="00534D28">
            <w:pPr>
              <w:spacing w:before="100" w:beforeAutospacing="1" w:after="100" w:afterAutospacing="1"/>
              <w:rPr>
                <w:rFonts w:ascii="Calibri" w:eastAsia="Times New Roman" w:hAnsi="Calibri" w:cs="Times New Roman"/>
                <w:bCs/>
                <w:sz w:val="32"/>
                <w:szCs w:val="32"/>
                <w:u w:val="single"/>
              </w:rPr>
            </w:pPr>
            <w:r w:rsidRPr="008E74DC">
              <w:rPr>
                <w:rStyle w:val="hps"/>
                <w:rFonts w:ascii="Calibri" w:hAnsi="Calibri"/>
                <w:sz w:val="32"/>
                <w:szCs w:val="32"/>
              </w:rPr>
              <w:t>Wzywam do</w:t>
            </w:r>
            <w:r w:rsidRPr="008E74DC">
              <w:rPr>
                <w:rStyle w:val="shorttext"/>
                <w:rFonts w:ascii="Calibri" w:hAnsi="Calibri"/>
                <w:sz w:val="32"/>
                <w:szCs w:val="32"/>
              </w:rPr>
              <w:t xml:space="preserve"> </w:t>
            </w:r>
            <w:r w:rsidRPr="008E74DC">
              <w:rPr>
                <w:rStyle w:val="hps"/>
                <w:rFonts w:ascii="Calibri" w:hAnsi="Calibri"/>
                <w:sz w:val="32"/>
                <w:szCs w:val="32"/>
              </w:rPr>
              <w:t>zachowania zgodnego z prawem</w:t>
            </w:r>
          </w:p>
        </w:tc>
        <w:tc>
          <w:tcPr>
            <w:tcW w:w="4606" w:type="dxa"/>
          </w:tcPr>
          <w:p w:rsidR="004C6F37" w:rsidRPr="004C6F37" w:rsidRDefault="004C6F37" w:rsidP="00534D28">
            <w:pPr>
              <w:spacing w:before="100" w:beforeAutospacing="1" w:after="100" w:afterAutospacing="1"/>
              <w:rPr>
                <w:rFonts w:ascii="Calibri" w:eastAsia="Times New Roman" w:hAnsi="Calibri" w:cs="Times New Roman"/>
                <w:b/>
                <w:bCs/>
                <w:sz w:val="32"/>
                <w:szCs w:val="32"/>
                <w:u w:val="single"/>
                <w:lang w:val="en-US"/>
              </w:rPr>
            </w:pPr>
            <w:r w:rsidRPr="004C6F37">
              <w:rPr>
                <w:rFonts w:ascii="Calibri" w:hAnsi="Calibri"/>
                <w:b/>
                <w:sz w:val="32"/>
                <w:szCs w:val="32"/>
                <w:lang w:val="en-US"/>
              </w:rPr>
              <w:t>Behave in accordance with the law.</w:t>
            </w:r>
          </w:p>
        </w:tc>
      </w:tr>
    </w:tbl>
    <w:p w:rsidR="004C6F37" w:rsidRPr="004C6F37" w:rsidRDefault="004C6F37" w:rsidP="004C6F37">
      <w:pPr>
        <w:spacing w:before="100" w:beforeAutospacing="1" w:after="100" w:afterAutospacing="1" w:line="240" w:lineRule="auto"/>
        <w:rPr>
          <w:rFonts w:ascii="Calibri" w:eastAsia="Times New Roman" w:hAnsi="Calibri" w:cs="Times New Roman"/>
          <w:b/>
          <w:bCs/>
          <w:sz w:val="40"/>
          <w:szCs w:val="40"/>
          <w:u w:val="single"/>
          <w:lang w:val="en-US"/>
        </w:rPr>
      </w:pPr>
    </w:p>
    <w:p w:rsidR="004C6F37" w:rsidRPr="004C6F37" w:rsidRDefault="004C6F37" w:rsidP="00FB059A">
      <w:pPr>
        <w:rPr>
          <w:lang w:val="en-US"/>
        </w:rPr>
      </w:pPr>
    </w:p>
    <w:sectPr w:rsidR="004C6F37" w:rsidRPr="004C6F37" w:rsidSect="007C31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2A69"/>
    <w:multiLevelType w:val="hybridMultilevel"/>
    <w:tmpl w:val="8A3216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3EA"/>
    <w:rsid w:val="004C6F37"/>
    <w:rsid w:val="00652347"/>
    <w:rsid w:val="0071538F"/>
    <w:rsid w:val="007C3167"/>
    <w:rsid w:val="00A774DD"/>
    <w:rsid w:val="00BB73EA"/>
    <w:rsid w:val="00D164EA"/>
    <w:rsid w:val="00D52BE6"/>
    <w:rsid w:val="00F32120"/>
    <w:rsid w:val="00FB05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B05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4C6F37"/>
    <w:pPr>
      <w:ind w:left="720"/>
      <w:contextualSpacing/>
    </w:pPr>
    <w:rPr>
      <w:rFonts w:eastAsia="Times New Roman" w:cs="Times New Roman"/>
    </w:rPr>
  </w:style>
  <w:style w:type="character" w:customStyle="1" w:styleId="shorttext">
    <w:name w:val="short_text"/>
    <w:basedOn w:val="Domylnaczcionkaakapitu"/>
    <w:rsid w:val="004C6F37"/>
  </w:style>
  <w:style w:type="character" w:customStyle="1" w:styleId="hps">
    <w:name w:val="hps"/>
    <w:basedOn w:val="Domylnaczcionkaakapitu"/>
    <w:rsid w:val="004C6F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B05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4C6F37"/>
    <w:pPr>
      <w:ind w:left="720"/>
      <w:contextualSpacing/>
    </w:pPr>
    <w:rPr>
      <w:rFonts w:eastAsia="Times New Roman" w:cs="Times New Roman"/>
    </w:rPr>
  </w:style>
  <w:style w:type="character" w:customStyle="1" w:styleId="shorttext">
    <w:name w:val="short_text"/>
    <w:basedOn w:val="Domylnaczcionkaakapitu"/>
    <w:rsid w:val="004C6F37"/>
  </w:style>
  <w:style w:type="character" w:customStyle="1" w:styleId="hps">
    <w:name w:val="hps"/>
    <w:basedOn w:val="Domylnaczcionkaakapitu"/>
    <w:rsid w:val="004C6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314</Words>
  <Characters>1885</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Haponiuk</dc:creator>
  <cp:lastModifiedBy>hp</cp:lastModifiedBy>
  <cp:revision>3</cp:revision>
  <dcterms:created xsi:type="dcterms:W3CDTF">2020-11-13T09:01:00Z</dcterms:created>
  <dcterms:modified xsi:type="dcterms:W3CDTF">2020-11-13T09:04:00Z</dcterms:modified>
</cp:coreProperties>
</file>